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0BF76" w14:textId="1DCD16E9" w:rsidR="00415ED4" w:rsidRDefault="006F078D" w:rsidP="006F078D">
      <w:pPr>
        <w:jc w:val="center"/>
        <w:rPr>
          <w:b/>
          <w:bCs/>
          <w:sz w:val="36"/>
          <w:szCs w:val="36"/>
          <w:u w:val="single"/>
        </w:rPr>
      </w:pPr>
      <w:bookmarkStart w:id="0" w:name="_Hlk204955093"/>
      <w:bookmarkEnd w:id="0"/>
      <w:r>
        <w:rPr>
          <w:b/>
          <w:bCs/>
          <w:noProof/>
          <w:sz w:val="36"/>
          <w:szCs w:val="36"/>
          <w:u w:val="single"/>
        </w:rPr>
        <w:drawing>
          <wp:inline distT="0" distB="0" distL="0" distR="0" wp14:anchorId="338E9F7F" wp14:editId="371438A0">
            <wp:extent cx="5082540" cy="1120140"/>
            <wp:effectExtent l="0" t="0" r="3810" b="3810"/>
            <wp:docPr id="89454885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2540" cy="1120140"/>
                    </a:xfrm>
                    <a:prstGeom prst="rect">
                      <a:avLst/>
                    </a:prstGeom>
                    <a:noFill/>
                    <a:ln>
                      <a:noFill/>
                    </a:ln>
                  </pic:spPr>
                </pic:pic>
              </a:graphicData>
            </a:graphic>
          </wp:inline>
        </w:drawing>
      </w:r>
    </w:p>
    <w:p w14:paraId="789A280E" w14:textId="1A23FCDF" w:rsidR="008971E9" w:rsidRPr="00000222" w:rsidRDefault="008971E9" w:rsidP="006F078D">
      <w:pPr>
        <w:jc w:val="center"/>
        <w:rPr>
          <w:b/>
          <w:bCs/>
          <w:u w:val="single"/>
        </w:rPr>
      </w:pPr>
      <w:r w:rsidRPr="00000222">
        <w:rPr>
          <w:b/>
          <w:bCs/>
          <w:u w:val="single"/>
        </w:rPr>
        <w:t>Riflessioni del Punto Pace di Bergamo</w:t>
      </w:r>
    </w:p>
    <w:p w14:paraId="573E44EF" w14:textId="3C81091B" w:rsidR="00D25610" w:rsidRPr="00A85FEB" w:rsidRDefault="00D25610" w:rsidP="00A85FEB">
      <w:pPr>
        <w:pStyle w:val="Nessunaspaziatura"/>
        <w:pBdr>
          <w:top w:val="single" w:sz="4" w:space="1" w:color="auto"/>
          <w:left w:val="single" w:sz="4" w:space="4" w:color="auto"/>
          <w:bottom w:val="single" w:sz="4" w:space="1" w:color="auto"/>
          <w:right w:val="single" w:sz="4" w:space="4" w:color="auto"/>
        </w:pBdr>
        <w:rPr>
          <w:b/>
          <w:bCs/>
          <w:sz w:val="32"/>
          <w:szCs w:val="32"/>
        </w:rPr>
      </w:pPr>
      <w:r w:rsidRPr="00A85FEB">
        <w:rPr>
          <w:b/>
          <w:bCs/>
          <w:sz w:val="32"/>
          <w:szCs w:val="32"/>
        </w:rPr>
        <w:t>L’industria militare italiana e la sfida sindacale nella nuova normalità bellica</w:t>
      </w:r>
    </w:p>
    <w:p w14:paraId="0AE76D6D" w14:textId="7A27C7FF" w:rsidR="00D25610" w:rsidRDefault="00D25610" w:rsidP="00A85FEB">
      <w:pPr>
        <w:pStyle w:val="Nessunaspaziatura"/>
        <w:jc w:val="center"/>
        <w:rPr>
          <w:i/>
          <w:iCs/>
          <w:sz w:val="22"/>
          <w:szCs w:val="22"/>
        </w:rPr>
      </w:pPr>
      <w:r w:rsidRPr="00A85FEB">
        <w:rPr>
          <w:i/>
          <w:iCs/>
          <w:sz w:val="22"/>
          <w:szCs w:val="22"/>
        </w:rPr>
        <w:t>Una riflessione critica sul rapporto tra produzione bellica, lavoro e responsabilità sociale</w:t>
      </w:r>
    </w:p>
    <w:p w14:paraId="7A036187" w14:textId="77777777" w:rsidR="00A85FEB" w:rsidRPr="00A85FEB" w:rsidRDefault="00A85FEB" w:rsidP="00A85FEB">
      <w:pPr>
        <w:pStyle w:val="Nessunaspaziatura"/>
        <w:jc w:val="center"/>
        <w:rPr>
          <w:i/>
          <w:iCs/>
          <w:sz w:val="22"/>
          <w:szCs w:val="22"/>
        </w:rPr>
      </w:pPr>
    </w:p>
    <w:p w14:paraId="0566DED1" w14:textId="2B55E623" w:rsidR="00D25610" w:rsidRPr="00D25610" w:rsidRDefault="00D25610" w:rsidP="00A446E0">
      <w:pPr>
        <w:jc w:val="both"/>
      </w:pPr>
      <w:r w:rsidRPr="00D25610">
        <w:t xml:space="preserve">Negli ultimi anni, l’Italia ha vissuto una trasformazione profonda: l’industria militare non è più considerata un comparto specialistico o marginale, ma è diventata un </w:t>
      </w:r>
      <w:r w:rsidRPr="00D25610">
        <w:rPr>
          <w:b/>
          <w:bCs/>
        </w:rPr>
        <w:t>asse portante delle politiche economiche, industriali e geopolitiche nazionali</w:t>
      </w:r>
      <w:r w:rsidRPr="00D25610">
        <w:t xml:space="preserve">. Questo processo, accelerato da crisi internazionali come la guerra in Ucraina e il conflitto in Medio Oriente, ha generato una </w:t>
      </w:r>
      <w:r w:rsidRPr="00D25610">
        <w:rPr>
          <w:b/>
          <w:bCs/>
        </w:rPr>
        <w:t>“nuova normalità bellica”</w:t>
      </w:r>
      <w:r w:rsidRPr="00D25610">
        <w:t>, in cui la guerra viene pensata come orizzonte strutturale e l’economia armata come strategia di crescita.</w:t>
      </w:r>
      <w:r w:rsidRPr="00D25610">
        <w:br/>
      </w:r>
      <w:r w:rsidRPr="00D25610">
        <w:rPr>
          <w:u w:val="single"/>
        </w:rPr>
        <w:t>In questo scenario, il sindacato italiano si trova di fronte a una sfida decisiva:</w:t>
      </w:r>
      <w:r w:rsidRPr="00D25610">
        <w:t xml:space="preserve"> </w:t>
      </w:r>
      <w:r w:rsidRPr="00D25610">
        <w:rPr>
          <w:b/>
          <w:bCs/>
          <w:i/>
          <w:iCs/>
        </w:rPr>
        <w:t>difendere il lavoro a ogni costo, o ridefinirne senso e finalità in una prospettiva etico-politica</w:t>
      </w:r>
      <w:r w:rsidRPr="00D25610">
        <w:rPr>
          <w:i/>
          <w:iCs/>
        </w:rPr>
        <w:t>?</w:t>
      </w:r>
    </w:p>
    <w:p w14:paraId="567E9D04" w14:textId="77777777" w:rsidR="00D25610" w:rsidRPr="00A446E0" w:rsidRDefault="00D25610" w:rsidP="00A446E0">
      <w:pPr>
        <w:pStyle w:val="Nessunaspaziatura"/>
        <w:jc w:val="both"/>
        <w:rPr>
          <w:b/>
          <w:bCs/>
          <w:u w:val="single"/>
        </w:rPr>
      </w:pPr>
      <w:r w:rsidRPr="00A446E0">
        <w:rPr>
          <w:b/>
          <w:bCs/>
          <w:u w:val="single"/>
        </w:rPr>
        <w:t>1. La militarizzazione dell’economia italiana</w:t>
      </w:r>
    </w:p>
    <w:p w14:paraId="1D37E5AF" w14:textId="20155B6C" w:rsidR="00D25610" w:rsidRPr="00D25610" w:rsidRDefault="00D25610" w:rsidP="00A446E0">
      <w:pPr>
        <w:pStyle w:val="Nessunaspaziatura"/>
        <w:jc w:val="both"/>
      </w:pPr>
      <w:r w:rsidRPr="00D25610">
        <w:t>La legge di bilancio 2024 ha portato la spesa militare italiana a oltre 29 miliardi di euro, con un progressivo avvicinamento all’obiettivo del 2% del PIL fissato dalla NATO. A questo si aggiungono i 14 miliardi richiesti all’Unione Europea per finanziare progetti militari nei prossimi cinque anni, tramite fondi PESCO ed EDF.</w:t>
      </w:r>
      <w:r w:rsidR="00635FFA">
        <w:t xml:space="preserve"> </w:t>
      </w:r>
      <w:r w:rsidRPr="00D25610">
        <w:t xml:space="preserve">Aziende come </w:t>
      </w:r>
      <w:r w:rsidRPr="00635FFA">
        <w:rPr>
          <w:b/>
          <w:bCs/>
        </w:rPr>
        <w:t>Leonardo S.p.A., Fincantieri, Avio Aero e MBDA Italia</w:t>
      </w:r>
      <w:r w:rsidRPr="00D25610">
        <w:t xml:space="preserve"> sono state protagoniste di una riorganizzazione produttiva fondata su innovazione tecnologica, digitalizzazione, cyber</w:t>
      </w:r>
      <w:r w:rsidR="00635FFA">
        <w:t>-</w:t>
      </w:r>
      <w:r w:rsidRPr="00D25610">
        <w:t>difesa e intelligenza artificiale. Il concetto di dual use (civile e militare) viene invocato per giustificare la crescente presenza del militare in ambiti civili: università, centri di ricerca, scuole, start-up.</w:t>
      </w:r>
      <w:r w:rsidR="00635FFA">
        <w:t xml:space="preserve"> </w:t>
      </w:r>
      <w:r w:rsidRPr="00D25610">
        <w:t>Questa riconfigurazione si inserisce in una narrazione che unisce sicurezza, sovranità tecnologica e competitività industriale. La guerra – reale o potenziale – diventa un motore stabile dell’innovazione e della crescita, normalizzando un’economia della difesa integrata nel tessuto nazionale.</w:t>
      </w:r>
    </w:p>
    <w:p w14:paraId="047327F2" w14:textId="77777777" w:rsidR="00D25610" w:rsidRPr="00A446E0" w:rsidRDefault="00D25610" w:rsidP="00A446E0">
      <w:pPr>
        <w:pStyle w:val="Nessunaspaziatura"/>
        <w:jc w:val="both"/>
        <w:rPr>
          <w:b/>
          <w:bCs/>
          <w:u w:val="single"/>
        </w:rPr>
      </w:pPr>
      <w:r w:rsidRPr="00A446E0">
        <w:rPr>
          <w:b/>
          <w:bCs/>
          <w:u w:val="single"/>
        </w:rPr>
        <w:t>2. La costruzione di una nuova normalità bellica</w:t>
      </w:r>
    </w:p>
    <w:p w14:paraId="5A6857A6" w14:textId="3653FE71" w:rsidR="00D25610" w:rsidRPr="00D25610" w:rsidRDefault="00D25610" w:rsidP="00A446E0">
      <w:pPr>
        <w:pStyle w:val="Nessunaspaziatura"/>
        <w:jc w:val="both"/>
      </w:pPr>
      <w:r w:rsidRPr="00D25610">
        <w:t>Quella che una volta veniva considerata un’eccezione – la produzione di strumenti bellici – è oggi integrata come fatto strutturale. Si assiste a una trasformazione culturale e semantica: il linguaggio della “difesa” sostituisce quello della “pace”; la “sicurezza” soppianta la giustizia sociale; la “competitività” diventa prioritaria rispetto alla cooperazione internazionale.</w:t>
      </w:r>
      <w:r w:rsidR="00635FFA">
        <w:t xml:space="preserve"> </w:t>
      </w:r>
      <w:r w:rsidRPr="00D25610">
        <w:t>In questa nuova normalità, la guerra non è più vista come un fallimento da evitare, ma come una condizione permanente a cui adattarsi. Le categorie tradizionali del diritto, della Costituzione e della democrazia vengono subordinate alle esigenze geopolitiche e industriali. L’Italia si trasforma così in un attore attivo della nuova economia armata europea, esportando tecnologia, armi e modelli di governance militare.</w:t>
      </w:r>
    </w:p>
    <w:p w14:paraId="6FF7549E" w14:textId="77777777" w:rsidR="00D25610" w:rsidRPr="00A446E0" w:rsidRDefault="00D25610" w:rsidP="00A446E0">
      <w:pPr>
        <w:pStyle w:val="Nessunaspaziatura"/>
        <w:jc w:val="both"/>
        <w:rPr>
          <w:b/>
          <w:bCs/>
          <w:u w:val="single"/>
        </w:rPr>
      </w:pPr>
      <w:r w:rsidRPr="00A446E0">
        <w:rPr>
          <w:b/>
          <w:bCs/>
          <w:u w:val="single"/>
        </w:rPr>
        <w:t>3. Il ruolo del sindacato: tra pragmatismo e responsabilità</w:t>
      </w:r>
    </w:p>
    <w:p w14:paraId="7E761F04" w14:textId="77777777" w:rsidR="00D25610" w:rsidRPr="00D25610" w:rsidRDefault="00D25610" w:rsidP="00A446E0">
      <w:pPr>
        <w:pStyle w:val="Nessunaspaziatura"/>
        <w:jc w:val="both"/>
      </w:pPr>
      <w:r w:rsidRPr="00D25610">
        <w:t>Nel contesto attuale, il sindacato italiano – in particolare CGIL, CISL e UIL – si muove con cautela. Di fronte alla crescita del comparto difesa, la priorità resta la tutela occupazionale. In molti territori (Taranto, Caserta, Trieste, Cameri, La Spezia), le industrie belliche rappresentano l’unico sbocco produttivo qualificato.</w:t>
      </w:r>
    </w:p>
    <w:p w14:paraId="1490D2C5" w14:textId="77777777" w:rsidR="00D25610" w:rsidRPr="00D25610" w:rsidRDefault="00D25610" w:rsidP="00A446E0">
      <w:pPr>
        <w:pStyle w:val="Nessunaspaziatura"/>
        <w:jc w:val="both"/>
      </w:pPr>
      <w:r w:rsidRPr="00D25610">
        <w:t>Le dichiarazioni ufficiali parlano spesso di “settori strategici”, “lavoro ad alta intensità tecnologica” e “sovranità industriale”, senza però affrontare le implicazioni etiche della produzione militare. La difesa del lavoro tende a prevalere su ogni riflessione più ampia sul tipo di società che si contribuisce a costruire.</w:t>
      </w:r>
    </w:p>
    <w:p w14:paraId="12F27BDA" w14:textId="0C379D5E" w:rsidR="00D25610" w:rsidRPr="00D25610" w:rsidRDefault="00D25610" w:rsidP="00A446E0">
      <w:pPr>
        <w:pStyle w:val="Nessunaspaziatura"/>
        <w:jc w:val="both"/>
      </w:pPr>
      <w:r w:rsidRPr="00D25610">
        <w:t>“L’aerospazio e la difesa sono comparti ad alta intensità tecnologica che, se opportunamente sostenuti, possono trainare occupazione qualificata e innovazione duale.”</w:t>
      </w:r>
      <w:r w:rsidR="00635FFA">
        <w:t xml:space="preserve"> </w:t>
      </w:r>
      <w:r w:rsidRPr="00D25610">
        <w:rPr>
          <w:i/>
          <w:iCs/>
        </w:rPr>
        <w:t>(FIM-CISL, comunicato 2023)</w:t>
      </w:r>
    </w:p>
    <w:p w14:paraId="7B861B14" w14:textId="77777777" w:rsidR="00D25610" w:rsidRPr="00635FFA" w:rsidRDefault="00D25610" w:rsidP="00A446E0">
      <w:pPr>
        <w:pStyle w:val="Nessunaspaziatura"/>
        <w:jc w:val="both"/>
        <w:rPr>
          <w:i/>
          <w:iCs/>
        </w:rPr>
      </w:pPr>
      <w:r w:rsidRPr="00635FFA">
        <w:rPr>
          <w:i/>
          <w:iCs/>
        </w:rPr>
        <w:t>Questa posizione, pur comprensibile sul piano sociale, rischia di diventare una forma implicita di complicità nella militarizzazione dell’economia.</w:t>
      </w:r>
    </w:p>
    <w:p w14:paraId="62C9DA01" w14:textId="77777777" w:rsidR="00D25610" w:rsidRPr="00A446E0" w:rsidRDefault="00D25610" w:rsidP="00A446E0">
      <w:pPr>
        <w:pStyle w:val="Nessunaspaziatura"/>
        <w:jc w:val="both"/>
        <w:rPr>
          <w:b/>
          <w:bCs/>
          <w:u w:val="single"/>
        </w:rPr>
      </w:pPr>
      <w:r w:rsidRPr="00A446E0">
        <w:rPr>
          <w:b/>
          <w:bCs/>
          <w:u w:val="single"/>
        </w:rPr>
        <w:t>4. La Legge 185/1990: un principio dimenticato</w:t>
      </w:r>
    </w:p>
    <w:p w14:paraId="74BD4F6C" w14:textId="77777777" w:rsidR="00D25610" w:rsidRPr="00D25610" w:rsidRDefault="00D25610" w:rsidP="00A446E0">
      <w:pPr>
        <w:pStyle w:val="Nessunaspaziatura"/>
        <w:jc w:val="both"/>
      </w:pPr>
      <w:r w:rsidRPr="00D25610">
        <w:t>A fronte della crescente opacità nel settore, la Legge 185/1990 avrebbe potuto rappresentare un baluardo di controllo democratico. Approvata con il sostegno di movimenti pacifisti, cristiani e sindacali, la legge stabiliva che:</w:t>
      </w:r>
    </w:p>
    <w:p w14:paraId="1D9CD421" w14:textId="77777777" w:rsidR="00D25610" w:rsidRPr="00635FFA" w:rsidRDefault="00D25610" w:rsidP="00635FFA">
      <w:pPr>
        <w:pStyle w:val="Nessunaspaziatura"/>
        <w:numPr>
          <w:ilvl w:val="0"/>
          <w:numId w:val="4"/>
        </w:numPr>
        <w:jc w:val="both"/>
        <w:rPr>
          <w:b/>
          <w:bCs/>
          <w:i/>
          <w:iCs/>
        </w:rPr>
      </w:pPr>
      <w:r w:rsidRPr="00635FFA">
        <w:rPr>
          <w:b/>
          <w:bCs/>
          <w:i/>
          <w:iCs/>
        </w:rPr>
        <w:t>Non è possibile esportare armi a Paesi in guerra o che violano i diritti umani;</w:t>
      </w:r>
    </w:p>
    <w:p w14:paraId="2482AD10" w14:textId="77777777" w:rsidR="00D25610" w:rsidRPr="00635FFA" w:rsidRDefault="00D25610" w:rsidP="00A446E0">
      <w:pPr>
        <w:pStyle w:val="Nessunaspaziatura"/>
        <w:numPr>
          <w:ilvl w:val="0"/>
          <w:numId w:val="4"/>
        </w:numPr>
        <w:jc w:val="both"/>
        <w:rPr>
          <w:b/>
          <w:bCs/>
          <w:i/>
          <w:iCs/>
        </w:rPr>
      </w:pPr>
      <w:r w:rsidRPr="00635FFA">
        <w:rPr>
          <w:b/>
          <w:bCs/>
          <w:i/>
          <w:iCs/>
        </w:rPr>
        <w:t>Ogni esportazione deve essere autorizzata dal governo;</w:t>
      </w:r>
    </w:p>
    <w:p w14:paraId="443605B2" w14:textId="77777777" w:rsidR="00D25610" w:rsidRPr="00635FFA" w:rsidRDefault="00D25610" w:rsidP="00A446E0">
      <w:pPr>
        <w:pStyle w:val="Nessunaspaziatura"/>
        <w:numPr>
          <w:ilvl w:val="0"/>
          <w:numId w:val="4"/>
        </w:numPr>
        <w:jc w:val="both"/>
        <w:rPr>
          <w:b/>
          <w:bCs/>
          <w:i/>
          <w:iCs/>
        </w:rPr>
      </w:pPr>
      <w:r w:rsidRPr="00635FFA">
        <w:rPr>
          <w:b/>
          <w:bCs/>
          <w:i/>
          <w:iCs/>
        </w:rPr>
        <w:t>È obbligatoria una relazione annuale al Parlamento per garantire trasparenza e controllo.</w:t>
      </w:r>
    </w:p>
    <w:p w14:paraId="05B697A5" w14:textId="77777777" w:rsidR="00A22B46" w:rsidRDefault="00D25610" w:rsidP="00A446E0">
      <w:pPr>
        <w:pStyle w:val="Nessunaspaziatura"/>
        <w:jc w:val="both"/>
      </w:pPr>
      <w:r w:rsidRPr="00D25610">
        <w:t>Nel tempo, tuttavia, la legge è stata progressivamente svuotata:</w:t>
      </w:r>
    </w:p>
    <w:p w14:paraId="00838CA9" w14:textId="3ED43495" w:rsidR="00D25610" w:rsidRDefault="00D25610" w:rsidP="00A22B46">
      <w:pPr>
        <w:pStyle w:val="Nessunaspaziatura"/>
        <w:numPr>
          <w:ilvl w:val="0"/>
          <w:numId w:val="5"/>
        </w:numPr>
        <w:jc w:val="both"/>
      </w:pPr>
      <w:r w:rsidRPr="00D25610">
        <w:t xml:space="preserve">Le relazioni parlamentari sono </w:t>
      </w:r>
      <w:r w:rsidR="00A22B46">
        <w:t xml:space="preserve">state e sono </w:t>
      </w:r>
      <w:r w:rsidRPr="00D25610">
        <w:t>spesso incomplete e tardive;</w:t>
      </w:r>
    </w:p>
    <w:p w14:paraId="51B7EB90" w14:textId="77777777" w:rsidR="00D25610" w:rsidRDefault="00D25610" w:rsidP="00A446E0">
      <w:pPr>
        <w:pStyle w:val="Nessunaspaziatura"/>
        <w:numPr>
          <w:ilvl w:val="0"/>
          <w:numId w:val="5"/>
        </w:numPr>
        <w:jc w:val="both"/>
      </w:pPr>
      <w:r w:rsidRPr="00D25610">
        <w:t>L’Italia ha esportato armi verso Paesi come  Israele, Arabia Saudita, Egitto e Emirati Arabi, in evidente violazione del dettato della legge;</w:t>
      </w:r>
    </w:p>
    <w:p w14:paraId="17D4C7B0" w14:textId="51EEA230" w:rsidR="00D25610" w:rsidRPr="00D25610" w:rsidRDefault="00D25610" w:rsidP="00A446E0">
      <w:pPr>
        <w:pStyle w:val="Nessunaspaziatura"/>
        <w:numPr>
          <w:ilvl w:val="0"/>
          <w:numId w:val="5"/>
        </w:numPr>
        <w:jc w:val="both"/>
      </w:pPr>
      <w:r w:rsidRPr="00D25610">
        <w:t>Le decisioni reali sono oggi nelle mani del governo e degli apparati industriali, con scarsa possibilità di controllo parlamentare o sociale.</w:t>
      </w:r>
    </w:p>
    <w:p w14:paraId="58FD57BE" w14:textId="77777777" w:rsidR="00D25610" w:rsidRPr="00D25610" w:rsidRDefault="00D25610" w:rsidP="00A446E0">
      <w:pPr>
        <w:pStyle w:val="Nessunaspaziatura"/>
        <w:jc w:val="both"/>
      </w:pPr>
      <w:r w:rsidRPr="00D25610">
        <w:t>Il sindacato ha raramente alzato la voce su questi temi, nonostante componenti critiche della CGIL e delle reti pacifiste abbiano chiesto il ripristino e l’estensione dei principi della legge 185.</w:t>
      </w:r>
    </w:p>
    <w:p w14:paraId="0A1C05B1" w14:textId="77777777" w:rsidR="00D25610" w:rsidRPr="00A22B46" w:rsidRDefault="00D25610" w:rsidP="00A446E0">
      <w:pPr>
        <w:pStyle w:val="Nessunaspaziatura"/>
        <w:jc w:val="both"/>
        <w:rPr>
          <w:b/>
          <w:bCs/>
          <w:u w:val="single"/>
        </w:rPr>
      </w:pPr>
      <w:r w:rsidRPr="00A22B46">
        <w:rPr>
          <w:b/>
          <w:bCs/>
          <w:u w:val="single"/>
        </w:rPr>
        <w:t>5. Riconversione industriale: l’alternativa che manca</w:t>
      </w:r>
    </w:p>
    <w:p w14:paraId="28B901A0" w14:textId="71CDD81F" w:rsidR="00D25610" w:rsidRPr="00D25610" w:rsidRDefault="00D25610" w:rsidP="00A446E0">
      <w:pPr>
        <w:pStyle w:val="Nessunaspaziatura"/>
        <w:jc w:val="both"/>
      </w:pPr>
      <w:r w:rsidRPr="00D25610">
        <w:t>Negli anni ’70 e ’80, molti sindacati – soprattutto in ambito metalmeccanico – promuovevano la riconversione dell’industria bellica verso settori civili e socialmente utili. Oggi, questo tema è quasi assente dalle agende sindacali. Si parla al massimo di “diversificazione produttiva”, ma non esiste un piano nazionale per trasformare fabbriche di armi in poli per l’energia verde, la mobilità sostenibile o la tecnologia medicale.</w:t>
      </w:r>
      <w:r w:rsidR="00A22B46">
        <w:t xml:space="preserve"> </w:t>
      </w:r>
      <w:r w:rsidRPr="00D25610">
        <w:t>Eppure, esempi internazionali dimostrano che la riconversione è possibile, se accompagnata da investimenti pubblici, ricerca, formazione e visione politica. La società ha bisogno di lavoro utile, non solo di lavoro remunerato. Ed è proprio il sindacato che può (e dovrebbe) guidare questa transizione, con proposte forti e praticabili.</w:t>
      </w:r>
    </w:p>
    <w:p w14:paraId="5C802978" w14:textId="77777777" w:rsidR="00D25610" w:rsidRPr="00A22B46" w:rsidRDefault="00D25610" w:rsidP="00A446E0">
      <w:pPr>
        <w:pStyle w:val="Nessunaspaziatura"/>
        <w:jc w:val="both"/>
        <w:rPr>
          <w:b/>
          <w:bCs/>
          <w:u w:val="single"/>
        </w:rPr>
      </w:pPr>
      <w:r w:rsidRPr="00A22B46">
        <w:rPr>
          <w:b/>
          <w:bCs/>
          <w:u w:val="single"/>
        </w:rPr>
        <w:t>6. Verso un sindacato della pace</w:t>
      </w:r>
    </w:p>
    <w:p w14:paraId="3BC3D256" w14:textId="77777777" w:rsidR="00D25610" w:rsidRPr="00D25610" w:rsidRDefault="00D25610" w:rsidP="00A446E0">
      <w:pPr>
        <w:pStyle w:val="Nessunaspaziatura"/>
        <w:jc w:val="both"/>
      </w:pPr>
      <w:r w:rsidRPr="00D25610">
        <w:t>Un sindacato che voglia restare fedele ai suoi valori fondativi – giustizia, dignità, uguaglianza – non può limitarsi a gestire l’esistente. Deve ripensare il lavoro come pratica sociale orientata alla cura, alla convivenza e alla solidarietà. Serve un’azione sindacale che includa:</w:t>
      </w:r>
    </w:p>
    <w:p w14:paraId="6268FCBD" w14:textId="77777777" w:rsidR="00D25610" w:rsidRDefault="00D25610" w:rsidP="00A22B46">
      <w:pPr>
        <w:pStyle w:val="Nessunaspaziatura"/>
        <w:numPr>
          <w:ilvl w:val="0"/>
          <w:numId w:val="6"/>
        </w:numPr>
        <w:jc w:val="both"/>
      </w:pPr>
      <w:r w:rsidRPr="00D25610">
        <w:t>Trasparenza nelle politiche industriali della difesa;</w:t>
      </w:r>
    </w:p>
    <w:p w14:paraId="70B4D425" w14:textId="77777777" w:rsidR="00D25610" w:rsidRDefault="00D25610" w:rsidP="00A446E0">
      <w:pPr>
        <w:pStyle w:val="Nessunaspaziatura"/>
        <w:numPr>
          <w:ilvl w:val="0"/>
          <w:numId w:val="6"/>
        </w:numPr>
        <w:jc w:val="both"/>
      </w:pPr>
      <w:r w:rsidRPr="00D25610">
        <w:t>Partecipazione attiva ai dibattiti su spesa pubblica, export e controlli;</w:t>
      </w:r>
    </w:p>
    <w:p w14:paraId="643B8873" w14:textId="77777777" w:rsidR="00D25610" w:rsidRDefault="00D25610" w:rsidP="00A446E0">
      <w:pPr>
        <w:pStyle w:val="Nessunaspaziatura"/>
        <w:numPr>
          <w:ilvl w:val="0"/>
          <w:numId w:val="6"/>
        </w:numPr>
        <w:jc w:val="both"/>
      </w:pPr>
      <w:r w:rsidRPr="00D25610">
        <w:t>Proposte concrete di riconversione industriale verso settori civili;</w:t>
      </w:r>
    </w:p>
    <w:p w14:paraId="5AEE8B1A" w14:textId="77777777" w:rsidR="00D25610" w:rsidRDefault="00D25610" w:rsidP="00A446E0">
      <w:pPr>
        <w:pStyle w:val="Nessunaspaziatura"/>
        <w:numPr>
          <w:ilvl w:val="0"/>
          <w:numId w:val="6"/>
        </w:numPr>
        <w:jc w:val="both"/>
      </w:pPr>
      <w:r w:rsidRPr="00D25610">
        <w:t>Formazione alla cultura della pace nei luoghi di lavoro e nelle scuole;</w:t>
      </w:r>
    </w:p>
    <w:p w14:paraId="0C5B50CC" w14:textId="77777777" w:rsidR="00D25610" w:rsidRPr="00D25610" w:rsidRDefault="00D25610" w:rsidP="00A446E0">
      <w:pPr>
        <w:pStyle w:val="Nessunaspaziatura"/>
        <w:numPr>
          <w:ilvl w:val="0"/>
          <w:numId w:val="6"/>
        </w:numPr>
        <w:jc w:val="both"/>
      </w:pPr>
      <w:r w:rsidRPr="00D25610">
        <w:t>Collaborazione con reti sociali e internazionali impegnate nel disarmo.</w:t>
      </w:r>
    </w:p>
    <w:p w14:paraId="26374840" w14:textId="77777777" w:rsidR="00D25610" w:rsidRPr="00A22B46" w:rsidRDefault="00D25610" w:rsidP="00A446E0">
      <w:pPr>
        <w:pStyle w:val="Nessunaspaziatura"/>
        <w:jc w:val="both"/>
        <w:rPr>
          <w:b/>
          <w:bCs/>
          <w:u w:val="single"/>
        </w:rPr>
      </w:pPr>
      <w:r w:rsidRPr="00A22B46">
        <w:rPr>
          <w:b/>
          <w:bCs/>
          <w:u w:val="single"/>
        </w:rPr>
        <w:t>Conclusione</w:t>
      </w:r>
    </w:p>
    <w:p w14:paraId="31DB842F" w14:textId="77777777" w:rsidR="00D25610" w:rsidRPr="00A22B46" w:rsidRDefault="00D25610" w:rsidP="00A446E0">
      <w:pPr>
        <w:pStyle w:val="Nessunaspaziatura"/>
        <w:jc w:val="both"/>
        <w:rPr>
          <w:i/>
          <w:iCs/>
        </w:rPr>
      </w:pPr>
      <w:r w:rsidRPr="00D25610">
        <w:t xml:space="preserve">L’industria militare è diventata parte integrante della nuova economia italiana, ma non senza costi morali, politici e democratici. La guerra non è più l’eccezione, ma l’orizzonte che struttura produzione, investimenti e discorso pubblico. </w:t>
      </w:r>
      <w:r w:rsidRPr="00A22B46">
        <w:rPr>
          <w:i/>
          <w:iCs/>
        </w:rPr>
        <w:t>Il sindacato si trova a un bivio: continuare a difendere ogni tipo di lavoro, oppure orientare il lavoro verso fini di pace, giustizia e solidarietà.</w:t>
      </w:r>
    </w:p>
    <w:p w14:paraId="4D6ADD1C" w14:textId="77777777" w:rsidR="00D25610" w:rsidRDefault="00D25610" w:rsidP="00A446E0">
      <w:pPr>
        <w:pStyle w:val="Nessunaspaziatura"/>
        <w:jc w:val="both"/>
      </w:pPr>
      <w:r w:rsidRPr="00D25610">
        <w:t>La sfida è difficile, ma necessaria. La storia dimostra che il lavoro può cambiare il mondo – in un senso o nell’altro. Sta al sindacato scegliere da che parte stare.</w:t>
      </w:r>
    </w:p>
    <w:p w14:paraId="3D703CD7" w14:textId="77777777" w:rsidR="00A22B46" w:rsidRPr="00D25610" w:rsidRDefault="00A22B46" w:rsidP="00A446E0">
      <w:pPr>
        <w:pStyle w:val="Nessunaspaziatura"/>
        <w:jc w:val="both"/>
      </w:pPr>
    </w:p>
    <w:p w14:paraId="6ED0CB9E" w14:textId="5B206F72" w:rsidR="00A85FEB" w:rsidRPr="00A85FEB" w:rsidRDefault="00A85FEB" w:rsidP="00A85FEB">
      <w:pPr>
        <w:shd w:val="clear" w:color="auto" w:fill="FFFFFF"/>
        <w:spacing w:after="0" w:line="240" w:lineRule="auto"/>
        <w:rPr>
          <w:rFonts w:ascii="Georgia" w:eastAsia="Times New Roman" w:hAnsi="Georgia" w:cs="Arial"/>
          <w:b/>
          <w:bCs/>
          <w:color w:val="222222"/>
          <w:kern w:val="0"/>
          <w:sz w:val="28"/>
          <w:szCs w:val="28"/>
          <w:lang w:eastAsia="it-IT"/>
          <w14:ligatures w14:val="none"/>
        </w:rPr>
      </w:pPr>
      <w:r w:rsidRPr="00A85FEB">
        <w:rPr>
          <w:rFonts w:ascii="Georgia" w:eastAsia="Times New Roman" w:hAnsi="Georgia" w:cs="Arial"/>
          <w:b/>
          <w:bCs/>
          <w:color w:val="222222"/>
          <w:kern w:val="0"/>
          <w:sz w:val="28"/>
          <w:szCs w:val="28"/>
          <w:lang w:eastAsia="it-IT"/>
          <w14:ligatures w14:val="none"/>
        </w:rPr>
        <w:t>Punto Pace Pax Christi Bergamo </w:t>
      </w:r>
    </w:p>
    <w:p w14:paraId="0A8DE3BD" w14:textId="6BB6943C" w:rsidR="00617AE1" w:rsidRDefault="00A85FEB" w:rsidP="00A85FEB">
      <w:pPr>
        <w:shd w:val="clear" w:color="auto" w:fill="FFFFFF"/>
        <w:spacing w:after="0" w:line="240" w:lineRule="auto"/>
      </w:pPr>
      <w:r w:rsidRPr="00A85FEB">
        <w:rPr>
          <w:rFonts w:ascii="Georgia" w:eastAsia="Times New Roman" w:hAnsi="Georgia" w:cs="Arial"/>
          <w:color w:val="222222"/>
          <w:kern w:val="0"/>
          <w:lang w:eastAsia="it-IT"/>
          <w14:ligatures w14:val="none"/>
        </w:rPr>
        <w:t>Email: </w:t>
      </w:r>
      <w:hyperlink r:id="rId8" w:tgtFrame="_blank" w:history="1">
        <w:r w:rsidRPr="00A85FEB">
          <w:rPr>
            <w:rFonts w:ascii="Georgia" w:eastAsia="Times New Roman" w:hAnsi="Georgia" w:cs="Arial"/>
            <w:i/>
            <w:iCs/>
            <w:color w:val="1155CC"/>
            <w:kern w:val="0"/>
            <w:u w:val="single"/>
            <w:lang w:eastAsia="it-IT"/>
            <w14:ligatures w14:val="none"/>
          </w:rPr>
          <w:t>puntopacepxbergamo@gmail.com</w:t>
        </w:r>
      </w:hyperlink>
      <w:r w:rsidRPr="00A85FEB">
        <w:rPr>
          <w:rFonts w:ascii="Georgia" w:eastAsia="Times New Roman" w:hAnsi="Georgia" w:cs="Arial"/>
          <w:color w:val="222222"/>
          <w:kern w:val="0"/>
          <w:lang w:eastAsia="it-IT"/>
          <w14:ligatures w14:val="none"/>
        </w:rPr>
        <w:t xml:space="preserve">      </w:t>
      </w:r>
    </w:p>
    <w:sectPr w:rsidR="00617AE1">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E08DE" w14:textId="77777777" w:rsidR="008134A0" w:rsidRDefault="008134A0" w:rsidP="005F36F6">
      <w:pPr>
        <w:spacing w:after="0" w:line="240" w:lineRule="auto"/>
      </w:pPr>
      <w:r>
        <w:separator/>
      </w:r>
    </w:p>
  </w:endnote>
  <w:endnote w:type="continuationSeparator" w:id="0">
    <w:p w14:paraId="7FA192CE" w14:textId="77777777" w:rsidR="008134A0" w:rsidRDefault="008134A0" w:rsidP="005F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EasyReadingPROAncientGreek">
    <w:altName w:val="Calibri"/>
    <w:charset w:val="00"/>
    <w:family w:val="auto"/>
    <w:pitch w:val="variable"/>
    <w:sig w:usb0="E00002EF" w:usb1="4000205A" w:usb2="00000000" w:usb3="00000000" w:csb0="0000019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3721219"/>
      <w:docPartObj>
        <w:docPartGallery w:val="Page Numbers (Bottom of Page)"/>
        <w:docPartUnique/>
      </w:docPartObj>
    </w:sdtPr>
    <w:sdtEndPr/>
    <w:sdtContent>
      <w:p w14:paraId="43DB9970" w14:textId="2BE5211F" w:rsidR="005F36F6" w:rsidRDefault="005F36F6">
        <w:pPr>
          <w:pStyle w:val="Pidipagina"/>
          <w:jc w:val="right"/>
        </w:pPr>
        <w:r>
          <w:fldChar w:fldCharType="begin"/>
        </w:r>
        <w:r>
          <w:instrText>PAGE   \* MERGEFORMAT</w:instrText>
        </w:r>
        <w:r>
          <w:fldChar w:fldCharType="separate"/>
        </w:r>
        <w:r>
          <w:t>2</w:t>
        </w:r>
        <w:r>
          <w:fldChar w:fldCharType="end"/>
        </w:r>
      </w:p>
    </w:sdtContent>
  </w:sdt>
  <w:p w14:paraId="788D84B3" w14:textId="77777777" w:rsidR="005F36F6" w:rsidRDefault="005F36F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FF23A" w14:textId="77777777" w:rsidR="008134A0" w:rsidRDefault="008134A0" w:rsidP="005F36F6">
      <w:pPr>
        <w:spacing w:after="0" w:line="240" w:lineRule="auto"/>
      </w:pPr>
      <w:r>
        <w:separator/>
      </w:r>
    </w:p>
  </w:footnote>
  <w:footnote w:type="continuationSeparator" w:id="0">
    <w:p w14:paraId="4DF9B6D2" w14:textId="77777777" w:rsidR="008134A0" w:rsidRDefault="008134A0" w:rsidP="005F36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AA09"/>
      </v:shape>
    </w:pict>
  </w:numPicBullet>
  <w:abstractNum w:abstractNumId="0" w15:restartNumberingAfterBreak="0">
    <w:nsid w:val="2ADA20B7"/>
    <w:multiLevelType w:val="multilevel"/>
    <w:tmpl w:val="969A3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A31BA7"/>
    <w:multiLevelType w:val="hybridMultilevel"/>
    <w:tmpl w:val="0F2A1E9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A17B4B"/>
    <w:multiLevelType w:val="multilevel"/>
    <w:tmpl w:val="6EBA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4207C6"/>
    <w:multiLevelType w:val="multilevel"/>
    <w:tmpl w:val="B2F6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C15BF1"/>
    <w:multiLevelType w:val="hybridMultilevel"/>
    <w:tmpl w:val="FE548DDC"/>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782701E"/>
    <w:multiLevelType w:val="hybridMultilevel"/>
    <w:tmpl w:val="D89460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06183067">
    <w:abstractNumId w:val="3"/>
  </w:num>
  <w:num w:numId="2" w16cid:durableId="1181772267">
    <w:abstractNumId w:val="2"/>
  </w:num>
  <w:num w:numId="3" w16cid:durableId="839153456">
    <w:abstractNumId w:val="0"/>
  </w:num>
  <w:num w:numId="4" w16cid:durableId="237055314">
    <w:abstractNumId w:val="5"/>
  </w:num>
  <w:num w:numId="5" w16cid:durableId="1787504903">
    <w:abstractNumId w:val="1"/>
  </w:num>
  <w:num w:numId="6" w16cid:durableId="8947020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FA"/>
    <w:rsid w:val="00000222"/>
    <w:rsid w:val="00415ED4"/>
    <w:rsid w:val="004438A1"/>
    <w:rsid w:val="005F36F6"/>
    <w:rsid w:val="00603A80"/>
    <w:rsid w:val="00617AE1"/>
    <w:rsid w:val="00635FFA"/>
    <w:rsid w:val="006676FA"/>
    <w:rsid w:val="006F078D"/>
    <w:rsid w:val="007A577B"/>
    <w:rsid w:val="007C512C"/>
    <w:rsid w:val="0081209F"/>
    <w:rsid w:val="008134A0"/>
    <w:rsid w:val="008148E5"/>
    <w:rsid w:val="00872045"/>
    <w:rsid w:val="008971E9"/>
    <w:rsid w:val="009E02A7"/>
    <w:rsid w:val="00A22B46"/>
    <w:rsid w:val="00A446E0"/>
    <w:rsid w:val="00A85FEB"/>
    <w:rsid w:val="00B822C6"/>
    <w:rsid w:val="00C034CD"/>
    <w:rsid w:val="00C57F61"/>
    <w:rsid w:val="00CB7D14"/>
    <w:rsid w:val="00D25610"/>
    <w:rsid w:val="00F970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94AB57F"/>
  <w15:chartTrackingRefBased/>
  <w15:docId w15:val="{03641BBE-0D27-473C-9ABA-0322865C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asyReadingPROAncientGreek" w:eastAsiaTheme="minorHAnsi" w:hAnsi="EasyReadingPROAncientGreek" w:cstheme="minorBidi"/>
        <w:kern w:val="2"/>
        <w:sz w:val="24"/>
        <w:szCs w:val="24"/>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676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6676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6676FA"/>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6676F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6676FA"/>
    <w:pPr>
      <w:keepNext/>
      <w:keepLines/>
      <w:spacing w:before="80" w:after="40"/>
      <w:outlineLvl w:val="4"/>
    </w:pPr>
    <w:rPr>
      <w:rFonts w:asciiTheme="minorHAnsi" w:eastAsiaTheme="majorEastAsia" w:hAnsiTheme="min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6676FA"/>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6676FA"/>
    <w:pPr>
      <w:keepNext/>
      <w:keepLines/>
      <w:spacing w:before="40" w:after="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6676FA"/>
    <w:pPr>
      <w:keepNext/>
      <w:keepLines/>
      <w:spacing w:after="0"/>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6676FA"/>
    <w:pPr>
      <w:keepNext/>
      <w:keepLines/>
      <w:spacing w:after="0"/>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76F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6676F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6676FA"/>
    <w:rPr>
      <w:rFonts w:asciiTheme="minorHAnsi" w:eastAsiaTheme="majorEastAsia" w:hAnsiTheme="minorHAnsi"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6676FA"/>
    <w:rPr>
      <w:rFonts w:asciiTheme="minorHAnsi" w:eastAsiaTheme="majorEastAsia" w:hAnsiTheme="min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6676FA"/>
    <w:rPr>
      <w:rFonts w:asciiTheme="minorHAnsi" w:eastAsiaTheme="majorEastAsia" w:hAnsiTheme="minorHAnsi" w:cstheme="majorBidi"/>
      <w:color w:val="2F5496" w:themeColor="accent1" w:themeShade="BF"/>
    </w:rPr>
  </w:style>
  <w:style w:type="character" w:customStyle="1" w:styleId="Titolo6Carattere">
    <w:name w:val="Titolo 6 Carattere"/>
    <w:basedOn w:val="Carpredefinitoparagrafo"/>
    <w:link w:val="Titolo6"/>
    <w:uiPriority w:val="9"/>
    <w:semiHidden/>
    <w:rsid w:val="006676FA"/>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6676FA"/>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6676FA"/>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6676FA"/>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667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676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76F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676FA"/>
    <w:rPr>
      <w:rFonts w:asciiTheme="minorHAnsi" w:eastAsiaTheme="majorEastAsia" w:hAnsiTheme="minorHAnsi"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76F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676FA"/>
    <w:rPr>
      <w:i/>
      <w:iCs/>
      <w:color w:val="404040" w:themeColor="text1" w:themeTint="BF"/>
    </w:rPr>
  </w:style>
  <w:style w:type="paragraph" w:styleId="Paragrafoelenco">
    <w:name w:val="List Paragraph"/>
    <w:basedOn w:val="Normale"/>
    <w:uiPriority w:val="34"/>
    <w:qFormat/>
    <w:rsid w:val="006676FA"/>
    <w:pPr>
      <w:ind w:left="720"/>
      <w:contextualSpacing/>
    </w:pPr>
  </w:style>
  <w:style w:type="character" w:styleId="Enfasiintensa">
    <w:name w:val="Intense Emphasis"/>
    <w:basedOn w:val="Carpredefinitoparagrafo"/>
    <w:uiPriority w:val="21"/>
    <w:qFormat/>
    <w:rsid w:val="006676FA"/>
    <w:rPr>
      <w:i/>
      <w:iCs/>
      <w:color w:val="2F5496" w:themeColor="accent1" w:themeShade="BF"/>
    </w:rPr>
  </w:style>
  <w:style w:type="paragraph" w:styleId="Citazioneintensa">
    <w:name w:val="Intense Quote"/>
    <w:basedOn w:val="Normale"/>
    <w:next w:val="Normale"/>
    <w:link w:val="CitazioneintensaCarattere"/>
    <w:uiPriority w:val="30"/>
    <w:qFormat/>
    <w:rsid w:val="006676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6676FA"/>
    <w:rPr>
      <w:i/>
      <w:iCs/>
      <w:color w:val="2F5496" w:themeColor="accent1" w:themeShade="BF"/>
    </w:rPr>
  </w:style>
  <w:style w:type="character" w:styleId="Riferimentointenso">
    <w:name w:val="Intense Reference"/>
    <w:basedOn w:val="Carpredefinitoparagrafo"/>
    <w:uiPriority w:val="32"/>
    <w:qFormat/>
    <w:rsid w:val="006676FA"/>
    <w:rPr>
      <w:b/>
      <w:bCs/>
      <w:smallCaps/>
      <w:color w:val="2F5496" w:themeColor="accent1" w:themeShade="BF"/>
      <w:spacing w:val="5"/>
    </w:rPr>
  </w:style>
  <w:style w:type="paragraph" w:styleId="Nessunaspaziatura">
    <w:name w:val="No Spacing"/>
    <w:uiPriority w:val="1"/>
    <w:qFormat/>
    <w:rsid w:val="00A446E0"/>
    <w:pPr>
      <w:spacing w:after="0" w:line="240" w:lineRule="auto"/>
    </w:pPr>
  </w:style>
  <w:style w:type="paragraph" w:styleId="Intestazione">
    <w:name w:val="header"/>
    <w:basedOn w:val="Normale"/>
    <w:link w:val="IntestazioneCarattere"/>
    <w:uiPriority w:val="99"/>
    <w:unhideWhenUsed/>
    <w:rsid w:val="005F36F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F36F6"/>
  </w:style>
  <w:style w:type="paragraph" w:styleId="Pidipagina">
    <w:name w:val="footer"/>
    <w:basedOn w:val="Normale"/>
    <w:link w:val="PidipaginaCarattere"/>
    <w:uiPriority w:val="99"/>
    <w:unhideWhenUsed/>
    <w:rsid w:val="005F36F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F36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untopacepxbergamo@gmail.com" TargetMode="External" /><Relationship Id="rId3" Type="http://schemas.openxmlformats.org/officeDocument/2006/relationships/settings" Target="settings.xml" /><Relationship Id="rId7" Type="http://schemas.openxmlformats.org/officeDocument/2006/relationships/image" Target="media/image2.jpe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_rels/numbering.xml.rels><?xml version="1.0" encoding="UTF-8" standalone="yes"?>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1072</Words>
  <Characters>6116</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BATTISTA VILLA</dc:creator>
  <cp:keywords/>
  <dc:description/>
  <cp:lastModifiedBy>mauro scaroni</cp:lastModifiedBy>
  <cp:revision>2</cp:revision>
  <dcterms:created xsi:type="dcterms:W3CDTF">2025-08-01T14:55:00Z</dcterms:created>
  <dcterms:modified xsi:type="dcterms:W3CDTF">2025-08-01T14:55:00Z</dcterms:modified>
</cp:coreProperties>
</file>